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u w:val="single"/>
        </w:rPr>
        <w:t>DECLARAÇÃO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>
          <w:sz w:val="28"/>
          <w:szCs w:val="28"/>
        </w:rPr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>vem através desta, declarar que “</w:t>
      </w:r>
      <w:r>
        <w:rPr>
          <w:b/>
          <w:bCs/>
          <w:u w:val="single"/>
        </w:rPr>
        <w:t xml:space="preserve">inexistem ações reais e pessoais reipersecutórias, relativas ao imóvel da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deste 1º </w:t>
      </w:r>
      <w:r>
        <w:rPr>
          <w:b/>
          <w:bCs/>
          <w:u w:val="single"/>
        </w:rPr>
        <w:t>Serviço Registral, ou quaisquer outros ônus reais incidentes sobre o mesmo</w:t>
      </w:r>
      <w:r>
        <w:rPr>
          <w:b/>
          <w:bCs/>
        </w:rPr>
        <w:t>”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INEXISTÊNCIA DE AÇÕES E ÔNUS REAIS;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LibreOffice/7.4.3.2$Windows_X86_64 LibreOffice_project/1048a8393ae2eeec98dff31b5c133c5f1d08b890</Application>
  <AppVersion>15.0000</AppVersion>
  <Pages>1</Pages>
  <Words>115</Words>
  <Characters>723</Characters>
  <CharactersWithSpaces>829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2023-03-22T14:15:54Z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